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proofErr w:type="spellStart"/>
      <w:r w:rsidRPr="006949E6">
        <w:rPr>
          <w:rFonts w:ascii="Times New Roman" w:hAnsi="Times New Roman" w:cs="Times New Roman"/>
          <w:i/>
          <w:sz w:val="20"/>
          <w:lang w:val="en-GB"/>
        </w:rPr>
        <w:t>Brahmadev</w:t>
      </w:r>
      <w:proofErr w:type="spellEnd"/>
      <w:r w:rsidRPr="006949E6">
        <w:rPr>
          <w:rFonts w:ascii="Times New Roman" w:hAnsi="Times New Roman" w:cs="Times New Roman"/>
          <w:i/>
          <w:sz w:val="20"/>
          <w:lang w:val="en-GB"/>
        </w:rPr>
        <w:t xml:space="preserve">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7DD1FB1" w14:textId="77777777" w:rsidR="006C0EE2" w:rsidRDefault="00BD2F20" w:rsidP="00836E79">
      <w:pPr>
        <w:spacing w:line="240" w:lineRule="auto"/>
        <w:rPr>
          <w:rFonts w:ascii="Times New Roman" w:hAnsi="Times New Roman" w:cs="Times New Roman"/>
          <w:sz w:val="20"/>
          <w:lang w:val="en-GB"/>
        </w:rPr>
        <w:sectPr w:rsidR="006C0EE2" w:rsidSect="00765F81">
          <w:pgSz w:w="11880" w:h="15840"/>
          <w:pgMar w:top="851" w:right="1134" w:bottom="851" w:left="1134" w:header="720" w:footer="720" w:gutter="0"/>
          <w:cols w:space="720"/>
          <w:docGrid w:linePitch="360"/>
        </w:sect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ownership, variables,</w:t>
      </w:r>
    </w:p>
    <w:p w14:paraId="1390D0F9" w14:textId="0E6C9D59" w:rsidR="00CE18BC" w:rsidRDefault="00CE18BC"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proofErr w:type="spellStart"/>
      <w:r w:rsidR="004308F7" w:rsidRPr="00F2448C">
        <w:rPr>
          <w:rFonts w:ascii="Times New Roman" w:hAnsi="Times New Roman" w:cs="Times New Roman"/>
          <w:sz w:val="20"/>
          <w:lang w:val="en-GB"/>
        </w:rPr>
        <w:t>Shleifer</w:t>
      </w:r>
      <w:proofErr w:type="spellEnd"/>
      <w:r w:rsidR="004308F7" w:rsidRPr="00F2448C">
        <w:rPr>
          <w:rFonts w:ascii="Times New Roman" w:hAnsi="Times New Roman" w:cs="Times New Roman"/>
          <w:sz w:val="20"/>
          <w:lang w:val="en-GB"/>
        </w:rPr>
        <w:t xml:space="preserve">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proofErr w:type="spellStart"/>
      <w:r w:rsidR="004308F7" w:rsidRPr="00F2448C">
        <w:rPr>
          <w:rFonts w:ascii="Times New Roman" w:hAnsi="Times New Roman" w:cs="Times New Roman"/>
          <w:sz w:val="20"/>
          <w:lang w:val="en-GB"/>
        </w:rPr>
        <w:t>Laporta</w:t>
      </w:r>
      <w:proofErr w:type="spellEnd"/>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lastRenderedPageBreak/>
        <w:t>(McNulty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w:t>
      </w:r>
      <w:proofErr w:type="spellStart"/>
      <w:r w:rsidRPr="00F2448C">
        <w:rPr>
          <w:rFonts w:ascii="Times New Roman" w:hAnsi="Times New Roman" w:cs="Times New Roman"/>
          <w:sz w:val="20"/>
          <w:lang w:val="en-GB"/>
        </w:rPr>
        <w:t>endogeneity</w:t>
      </w:r>
      <w:proofErr w:type="spellEnd"/>
      <w:r w:rsidRPr="00F2448C">
        <w:rPr>
          <w:rFonts w:ascii="Times New Roman" w:hAnsi="Times New Roman" w:cs="Times New Roman"/>
          <w:sz w:val="20"/>
          <w:lang w:val="en-GB"/>
        </w:rPr>
        <w:t xml:space="preserve">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 xml:space="preserve">for this study to control the </w:t>
      </w:r>
      <w:proofErr w:type="spellStart"/>
      <w:r w:rsidR="00B62E66" w:rsidRPr="00F2448C">
        <w:rPr>
          <w:rFonts w:ascii="Times New Roman" w:hAnsi="Times New Roman" w:cs="Times New Roman"/>
          <w:sz w:val="20"/>
          <w:lang w:val="en-GB"/>
        </w:rPr>
        <w:t>endogeneity</w:t>
      </w:r>
      <w:proofErr w:type="spellEnd"/>
      <w:r w:rsidR="00B62E66" w:rsidRPr="00F2448C">
        <w:rPr>
          <w:rFonts w:ascii="Times New Roman" w:hAnsi="Times New Roman" w:cs="Times New Roman"/>
          <w:sz w:val="20"/>
          <w:lang w:val="en-GB"/>
        </w:rPr>
        <w:t xml:space="preserve">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lastRenderedPageBreak/>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t>
      </w:r>
      <w:proofErr w:type="spellStart"/>
      <w:r w:rsidRPr="00F2448C">
        <w:rPr>
          <w:rFonts w:ascii="Times New Roman" w:eastAsia="Times New Roman" w:hAnsi="Times New Roman" w:cs="Times New Roman"/>
          <w:sz w:val="20"/>
          <w:lang w:val="en-GB" w:eastAsia="en-IN"/>
        </w:rPr>
        <w:t>Wojcik</w:t>
      </w:r>
      <w:proofErr w:type="spellEnd"/>
      <w:r w:rsidRPr="00F2448C">
        <w:rPr>
          <w:rFonts w:ascii="Times New Roman" w:eastAsia="Times New Roman" w:hAnsi="Times New Roman" w:cs="Times New Roman"/>
          <w:sz w:val="20"/>
          <w:lang w:val="en-GB" w:eastAsia="en-IN"/>
        </w:rPr>
        <w:t xml:space="preserve">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 xml:space="preserve">inferred that large ownership has a positive monitoring effect of stock return. </w:t>
      </w:r>
      <w:proofErr w:type="spellStart"/>
      <w:r w:rsidR="006E6098" w:rsidRPr="00F2448C">
        <w:rPr>
          <w:rFonts w:ascii="Times New Roman" w:eastAsia="Times New Roman" w:hAnsi="Times New Roman" w:cs="Times New Roman"/>
          <w:sz w:val="20"/>
          <w:lang w:val="en-GB" w:eastAsia="en-IN"/>
        </w:rPr>
        <w:t>Zou</w:t>
      </w:r>
      <w:proofErr w:type="spellEnd"/>
      <w:r w:rsidR="006E6098" w:rsidRPr="00F2448C">
        <w:rPr>
          <w:rFonts w:ascii="Times New Roman" w:eastAsia="Times New Roman" w:hAnsi="Times New Roman" w:cs="Times New Roman"/>
          <w:sz w:val="20"/>
          <w:lang w:val="en-GB" w:eastAsia="en-IN"/>
        </w:rPr>
        <w:t xml:space="preserve">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w:t>
      </w:r>
      <w:proofErr w:type="spellStart"/>
      <w:r w:rsidR="000E5A9B" w:rsidRPr="00F2448C">
        <w:rPr>
          <w:rFonts w:ascii="Times New Roman" w:eastAsia="Times New Roman" w:hAnsi="Times New Roman" w:cs="Times New Roman"/>
          <w:sz w:val="20"/>
          <w:lang w:val="en-GB" w:eastAsia="en-IN"/>
        </w:rPr>
        <w:t>Zou</w:t>
      </w:r>
      <w:proofErr w:type="spellEnd"/>
      <w:r w:rsidR="000E5A9B" w:rsidRPr="00F2448C">
        <w:rPr>
          <w:rFonts w:ascii="Times New Roman" w:eastAsia="Times New Roman" w:hAnsi="Times New Roman" w:cs="Times New Roman"/>
          <w:sz w:val="20"/>
          <w:lang w:val="en-GB" w:eastAsia="en-IN"/>
        </w:rPr>
        <w:t xml:space="preserve">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w:t>
      </w:r>
      <w:proofErr w:type="spellStart"/>
      <w:r w:rsidRPr="00F2448C">
        <w:rPr>
          <w:rFonts w:ascii="Times New Roman" w:eastAsia="Times New Roman" w:hAnsi="Times New Roman" w:cs="Times New Roman"/>
          <w:sz w:val="20"/>
          <w:lang w:val="en-GB" w:eastAsia="en-IN"/>
        </w:rPr>
        <w:t>Metrick</w:t>
      </w:r>
      <w:proofErr w:type="spellEnd"/>
      <w:r w:rsidRPr="00F2448C">
        <w:rPr>
          <w:rFonts w:ascii="Times New Roman" w:eastAsia="Times New Roman" w:hAnsi="Times New Roman" w:cs="Times New Roman"/>
          <w:sz w:val="20"/>
          <w:lang w:val="en-GB" w:eastAsia="en-IN"/>
        </w:rPr>
        <w:t xml:space="preserve">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proofErr w:type="spellStart"/>
      <w:r w:rsidRPr="00F2448C">
        <w:rPr>
          <w:rFonts w:ascii="Times New Roman" w:eastAsia="Times New Roman" w:hAnsi="Times New Roman" w:cs="Times New Roman"/>
          <w:sz w:val="20"/>
          <w:lang w:val="en-GB" w:eastAsia="en-IN"/>
        </w:rPr>
        <w:t>Cella</w:t>
      </w:r>
      <w:proofErr w:type="spellEnd"/>
      <w:r w:rsidRPr="00F2448C">
        <w:rPr>
          <w:rFonts w:ascii="Times New Roman" w:eastAsia="Times New Roman" w:hAnsi="Times New Roman" w:cs="Times New Roman"/>
          <w:sz w:val="20"/>
          <w:lang w:val="en-GB" w:eastAsia="en-IN"/>
        </w:rPr>
        <w:t xml:space="preserve">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term positive effect as well as a negative long term effect on stock returns of </w:t>
      </w:r>
      <w:r w:rsidRPr="00F2448C">
        <w:rPr>
          <w:rFonts w:ascii="Times New Roman" w:eastAsia="Times New Roman" w:hAnsi="Times New Roman" w:cs="Times New Roman"/>
          <w:sz w:val="20"/>
          <w:lang w:val="en-GB" w:eastAsia="en-IN"/>
        </w:rPr>
        <w:lastRenderedPageBreak/>
        <w:t>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w:t>
      </w:r>
      <w:proofErr w:type="spellStart"/>
      <w:r w:rsidRPr="00F2448C">
        <w:rPr>
          <w:rFonts w:ascii="Times New Roman" w:eastAsia="Times New Roman" w:hAnsi="Times New Roman" w:cs="Times New Roman"/>
          <w:sz w:val="20"/>
          <w:lang w:val="en-GB" w:eastAsia="en-IN"/>
        </w:rPr>
        <w:t>Dasgupta</w:t>
      </w:r>
      <w:proofErr w:type="spellEnd"/>
      <w:r w:rsidRPr="00F2448C">
        <w:rPr>
          <w:rFonts w:ascii="Times New Roman" w:eastAsia="Times New Roman" w:hAnsi="Times New Roman" w:cs="Times New Roman"/>
          <w:sz w:val="20"/>
          <w:lang w:val="en-GB" w:eastAsia="en-IN"/>
        </w:rPr>
        <w:t xml:space="preserve">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world economy (</w:t>
      </w:r>
      <w:proofErr w:type="spellStart"/>
      <w:r w:rsidRPr="00F2448C">
        <w:rPr>
          <w:rFonts w:ascii="Times New Roman" w:eastAsia="Times New Roman" w:hAnsi="Times New Roman" w:cs="Times New Roman"/>
          <w:sz w:val="20"/>
          <w:lang w:val="en-GB" w:eastAsia="en-IN"/>
        </w:rPr>
        <w:t>Sikorski</w:t>
      </w:r>
      <w:proofErr w:type="spellEnd"/>
      <w:r w:rsidRPr="00F2448C">
        <w:rPr>
          <w:rFonts w:ascii="Times New Roman" w:eastAsia="Times New Roman" w:hAnsi="Times New Roman" w:cs="Times New Roman"/>
          <w:sz w:val="20"/>
          <w:lang w:val="en-GB" w:eastAsia="en-IN"/>
        </w:rPr>
        <w:t xml:space="preserve">,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This study considers two major ownership structure measures such as ownership concentration and institutional ownership as independent variables. </w:t>
      </w:r>
      <w:r w:rsidRPr="00F2448C">
        <w:rPr>
          <w:rFonts w:ascii="Times New Roman" w:eastAsia="Times New Roman" w:hAnsi="Times New Roman" w:cs="Times New Roman"/>
          <w:sz w:val="20"/>
          <w:lang w:val="en-GB" w:eastAsia="en-IN"/>
        </w:rPr>
        <w:lastRenderedPageBreak/>
        <w:t>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lastRenderedPageBreak/>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28795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28795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w:t>
      </w:r>
      <w:proofErr w:type="spellStart"/>
      <w:r w:rsidRPr="00F2448C">
        <w:rPr>
          <w:rFonts w:ascii="Times New Roman" w:eastAsia="Times New Roman" w:hAnsi="Times New Roman" w:cs="Times New Roman"/>
          <w:iCs/>
          <w:color w:val="000000" w:themeColor="text1"/>
          <w:sz w:val="20"/>
          <w:szCs w:val="24"/>
          <w:lang w:val="en-GB"/>
        </w:rPr>
        <w:t>payout</w:t>
      </w:r>
      <w:proofErr w:type="spellEnd"/>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6F69BF">
      <w:pPr>
        <w:spacing w:line="240" w:lineRule="auto"/>
        <w:jc w:val="center"/>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5E549DC2" w14:textId="77777777" w:rsidR="00167A27" w:rsidRDefault="0028447D" w:rsidP="0008434D">
      <w:pPr>
        <w:spacing w:line="240" w:lineRule="auto"/>
        <w:jc w:val="both"/>
        <w:rPr>
          <w:rFonts w:ascii="Times New Roman" w:eastAsia="Times New Roman" w:hAnsi="Times New Roman" w:cs="Times New Roman"/>
          <w:iCs/>
          <w:color w:val="000000" w:themeColor="text1"/>
          <w:sz w:val="20"/>
          <w:szCs w:val="24"/>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0C81C677" w14:textId="01957921" w:rsidR="0003678D" w:rsidRPr="00F2448C" w:rsidRDefault="0003678D" w:rsidP="0008434D">
      <w:pPr>
        <w:spacing w:line="240" w:lineRule="auto"/>
        <w:jc w:val="both"/>
        <w:rPr>
          <w:rFonts w:ascii="Times New Roman" w:eastAsia="Times New Roman" w:hAnsi="Times New Roman" w:cs="Times New Roman"/>
          <w:iCs/>
          <w:color w:val="000000" w:themeColor="text1"/>
          <w:sz w:val="20"/>
          <w:szCs w:val="24"/>
          <w:lang w:val="en-GB"/>
        </w:rPr>
      </w:pPr>
    </w:p>
    <w:p w14:paraId="6BAC5819" w14:textId="0B91048B" w:rsidR="00167A27" w:rsidRDefault="00F67BB3" w:rsidP="0008434D">
      <w:pPr>
        <w:spacing w:after="0" w:line="240" w:lineRule="auto"/>
        <w:rPr>
          <w:rFonts w:ascii="Times New Roman" w:eastAsia="Times New Roman" w:hAnsi="Times New Roman" w:cs="Times New Roman"/>
          <w:color w:val="000000"/>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3D6BCD36"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622EEDF5" w14:textId="77777777" w:rsidR="00167A27" w:rsidRDefault="00167A27" w:rsidP="0008434D">
      <w:pPr>
        <w:spacing w:line="240" w:lineRule="auto"/>
        <w:jc w:val="both"/>
        <w:rPr>
          <w:rFonts w:ascii="Times New Roman" w:eastAsia="Times New Roman" w:hAnsi="Times New Roman" w:cs="Times New Roman"/>
          <w:iCs/>
          <w:sz w:val="20"/>
          <w:szCs w:val="24"/>
          <w:lang w:val="en-GB"/>
        </w:rPr>
        <w:sectPr w:rsidR="00167A27" w:rsidSect="00765F81">
          <w:type w:val="continuous"/>
          <w:pgSz w:w="11880" w:h="15840"/>
          <w:pgMar w:top="851" w:right="1134" w:bottom="851" w:left="1134" w:header="720" w:footer="720" w:gutter="0"/>
          <w:cols w:space="720"/>
          <w:docGrid w:linePitch="360"/>
        </w:sectPr>
      </w:pPr>
    </w:p>
    <w:p w14:paraId="39DFF8F4" w14:textId="6F35133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lastRenderedPageBreak/>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w:t>
      </w:r>
      <w:r w:rsidRPr="00F2448C">
        <w:rPr>
          <w:rFonts w:ascii="Times New Roman" w:eastAsia="Times New Roman" w:hAnsi="Times New Roman" w:cs="Times New Roman"/>
          <w:iCs/>
          <w:sz w:val="20"/>
          <w:szCs w:val="24"/>
          <w:lang w:val="en-GB"/>
        </w:rPr>
        <w:lastRenderedPageBreak/>
        <w:t xml:space="preserve">is having an average value of 0.213. In India, the concentration level is very high, which means most of </w:t>
      </w:r>
      <w:r w:rsidRPr="00F2448C">
        <w:rPr>
          <w:rFonts w:ascii="Times New Roman" w:eastAsia="Times New Roman" w:hAnsi="Times New Roman" w:cs="Times New Roman"/>
          <w:iCs/>
          <w:sz w:val="20"/>
          <w:szCs w:val="24"/>
          <w:lang w:val="en-GB"/>
        </w:rPr>
        <w:lastRenderedPageBreak/>
        <w:t xml:space="preserve">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xml:space="preserve">, which is similar to the early findings of (Clark and </w:t>
      </w:r>
      <w:proofErr w:type="spellStart"/>
      <w:r w:rsidR="00CE1C86" w:rsidRPr="00F2448C">
        <w:rPr>
          <w:rFonts w:ascii="Times New Roman" w:eastAsia="Times New Roman" w:hAnsi="Times New Roman" w:cs="Times New Roman"/>
          <w:iCs/>
          <w:color w:val="000000" w:themeColor="text1"/>
          <w:sz w:val="20"/>
          <w:szCs w:val="24"/>
          <w:lang w:val="en-GB"/>
        </w:rPr>
        <w:t>Wojcik</w:t>
      </w:r>
      <w:proofErr w:type="spellEnd"/>
      <w:r w:rsidR="00CE1C86" w:rsidRPr="00F2448C">
        <w:rPr>
          <w:rFonts w:ascii="Times New Roman" w:eastAsia="Times New Roman" w:hAnsi="Times New Roman" w:cs="Times New Roman"/>
          <w:iCs/>
          <w:color w:val="000000" w:themeColor="text1"/>
          <w:sz w:val="20"/>
          <w:szCs w:val="24"/>
          <w:lang w:val="en-GB"/>
        </w:rPr>
        <w:t>,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t>
      </w:r>
      <w:r w:rsidR="00E90B28" w:rsidRPr="00F2448C">
        <w:rPr>
          <w:rFonts w:ascii="Times New Roman" w:eastAsia="Times New Roman" w:hAnsi="Times New Roman" w:cs="Times New Roman"/>
          <w:iCs/>
          <w:color w:val="000000" w:themeColor="text1"/>
          <w:sz w:val="20"/>
          <w:szCs w:val="24"/>
          <w:lang w:val="en-GB"/>
        </w:rPr>
        <w:lastRenderedPageBreak/>
        <w:t xml:space="preserve">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2CA6BA0F" w14:textId="77777777" w:rsidR="00167A27"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6122149" w14:textId="06DECE8D"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lastRenderedPageBreak/>
        <w:t>.</w:t>
      </w:r>
    </w:p>
    <w:p w14:paraId="57B42C99" w14:textId="77777777" w:rsidR="00167A27" w:rsidRDefault="00167A27" w:rsidP="0008434D">
      <w:pPr>
        <w:autoSpaceDE w:val="0"/>
        <w:autoSpaceDN w:val="0"/>
        <w:adjustRightInd w:val="0"/>
        <w:spacing w:after="0" w:line="240" w:lineRule="auto"/>
        <w:jc w:val="center"/>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p>
    <w:p w14:paraId="13850284"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6093EBB2" w14:textId="4DBC9BDC" w:rsidR="00DE3873"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roofErr w:type="gramStart"/>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roofErr w:type="gramEnd"/>
    </w:p>
    <w:p w14:paraId="4A0095F0"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tbl>
      <w:tblPr>
        <w:tblW w:w="7970" w:type="dxa"/>
        <w:jc w:val="center"/>
        <w:tblLook w:val="04A0" w:firstRow="1" w:lastRow="0" w:firstColumn="1" w:lastColumn="0" w:noHBand="0" w:noVBand="1"/>
      </w:tblPr>
      <w:tblGrid>
        <w:gridCol w:w="1106"/>
        <w:gridCol w:w="1144"/>
        <w:gridCol w:w="1182"/>
        <w:gridCol w:w="1081"/>
        <w:gridCol w:w="1081"/>
        <w:gridCol w:w="1082"/>
        <w:gridCol w:w="1294"/>
      </w:tblGrid>
      <w:tr w:rsidR="00871CC3" w:rsidRPr="00F2448C" w14:paraId="4600FBD3" w14:textId="77777777" w:rsidTr="00287950">
        <w:trPr>
          <w:trHeight w:val="338"/>
          <w:jc w:val="center"/>
        </w:trPr>
        <w:tc>
          <w:tcPr>
            <w:tcW w:w="1106" w:type="dxa"/>
            <w:tcBorders>
              <w:top w:val="single" w:sz="4" w:space="0" w:color="auto"/>
              <w:left w:val="nil"/>
              <w:bottom w:val="single" w:sz="4" w:space="0" w:color="auto"/>
              <w:right w:val="nil"/>
            </w:tcBorders>
            <w:shd w:val="clear" w:color="auto" w:fill="auto"/>
            <w:noWrap/>
            <w:vAlign w:val="center"/>
            <w:hideMark/>
          </w:tcPr>
          <w:p w14:paraId="326BC16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1144" w:type="dxa"/>
            <w:tcBorders>
              <w:top w:val="single" w:sz="4" w:space="0" w:color="auto"/>
              <w:left w:val="nil"/>
              <w:bottom w:val="single" w:sz="4" w:space="0" w:color="auto"/>
              <w:right w:val="nil"/>
            </w:tcBorders>
            <w:shd w:val="clear" w:color="auto" w:fill="auto"/>
            <w:noWrap/>
            <w:vAlign w:val="center"/>
            <w:hideMark/>
          </w:tcPr>
          <w:p w14:paraId="6AE6D63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1182" w:type="dxa"/>
            <w:tcBorders>
              <w:top w:val="single" w:sz="4" w:space="0" w:color="auto"/>
              <w:left w:val="nil"/>
              <w:bottom w:val="single" w:sz="4" w:space="0" w:color="auto"/>
              <w:right w:val="nil"/>
            </w:tcBorders>
            <w:shd w:val="clear" w:color="auto" w:fill="auto"/>
            <w:noWrap/>
            <w:vAlign w:val="center"/>
            <w:hideMark/>
          </w:tcPr>
          <w:p w14:paraId="34B5FC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1081" w:type="dxa"/>
            <w:tcBorders>
              <w:top w:val="single" w:sz="4" w:space="0" w:color="auto"/>
              <w:left w:val="nil"/>
              <w:bottom w:val="single" w:sz="4" w:space="0" w:color="auto"/>
              <w:right w:val="nil"/>
            </w:tcBorders>
            <w:shd w:val="clear" w:color="auto" w:fill="auto"/>
            <w:noWrap/>
            <w:vAlign w:val="center"/>
            <w:hideMark/>
          </w:tcPr>
          <w:p w14:paraId="44998ED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1081" w:type="dxa"/>
            <w:tcBorders>
              <w:top w:val="single" w:sz="4" w:space="0" w:color="auto"/>
              <w:left w:val="nil"/>
              <w:bottom w:val="single" w:sz="4" w:space="0" w:color="auto"/>
              <w:right w:val="nil"/>
            </w:tcBorders>
            <w:shd w:val="clear" w:color="auto" w:fill="auto"/>
            <w:noWrap/>
            <w:vAlign w:val="center"/>
            <w:hideMark/>
          </w:tcPr>
          <w:p w14:paraId="5209A5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1082" w:type="dxa"/>
            <w:tcBorders>
              <w:top w:val="single" w:sz="4" w:space="0" w:color="auto"/>
              <w:left w:val="nil"/>
              <w:bottom w:val="single" w:sz="4" w:space="0" w:color="auto"/>
              <w:right w:val="nil"/>
            </w:tcBorders>
            <w:shd w:val="clear" w:color="auto" w:fill="auto"/>
            <w:noWrap/>
            <w:vAlign w:val="center"/>
            <w:hideMark/>
          </w:tcPr>
          <w:p w14:paraId="5712655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Standard deviation</w:t>
            </w:r>
          </w:p>
        </w:tc>
        <w:tc>
          <w:tcPr>
            <w:tcW w:w="1294" w:type="dxa"/>
            <w:tcBorders>
              <w:top w:val="single" w:sz="4" w:space="0" w:color="auto"/>
              <w:left w:val="nil"/>
              <w:bottom w:val="single" w:sz="4" w:space="0" w:color="auto"/>
              <w:right w:val="nil"/>
            </w:tcBorders>
            <w:shd w:val="clear" w:color="auto" w:fill="auto"/>
            <w:noWrap/>
            <w:vAlign w:val="center"/>
            <w:hideMark/>
          </w:tcPr>
          <w:p w14:paraId="77C7C5E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871CC3" w:rsidRPr="00F2448C" w14:paraId="776C0566"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2EC9A8B1"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1144" w:type="dxa"/>
            <w:tcBorders>
              <w:top w:val="nil"/>
              <w:left w:val="nil"/>
              <w:bottom w:val="nil"/>
              <w:right w:val="nil"/>
            </w:tcBorders>
            <w:shd w:val="clear" w:color="auto" w:fill="auto"/>
            <w:noWrap/>
            <w:vAlign w:val="center"/>
            <w:hideMark/>
          </w:tcPr>
          <w:p w14:paraId="09595C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1182" w:type="dxa"/>
            <w:tcBorders>
              <w:top w:val="nil"/>
              <w:left w:val="nil"/>
              <w:bottom w:val="nil"/>
              <w:right w:val="nil"/>
            </w:tcBorders>
            <w:shd w:val="clear" w:color="auto" w:fill="auto"/>
            <w:noWrap/>
            <w:vAlign w:val="center"/>
            <w:hideMark/>
          </w:tcPr>
          <w:p w14:paraId="4439B30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1081" w:type="dxa"/>
            <w:tcBorders>
              <w:top w:val="nil"/>
              <w:left w:val="nil"/>
              <w:bottom w:val="nil"/>
              <w:right w:val="nil"/>
            </w:tcBorders>
            <w:shd w:val="clear" w:color="auto" w:fill="auto"/>
            <w:noWrap/>
            <w:vAlign w:val="center"/>
            <w:hideMark/>
          </w:tcPr>
          <w:p w14:paraId="7496F44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1081" w:type="dxa"/>
            <w:tcBorders>
              <w:top w:val="nil"/>
              <w:left w:val="nil"/>
              <w:bottom w:val="nil"/>
              <w:right w:val="nil"/>
            </w:tcBorders>
            <w:shd w:val="clear" w:color="auto" w:fill="auto"/>
            <w:noWrap/>
            <w:vAlign w:val="center"/>
            <w:hideMark/>
          </w:tcPr>
          <w:p w14:paraId="5E2734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shd w:val="clear" w:color="auto" w:fill="auto"/>
            <w:noWrap/>
            <w:vAlign w:val="center"/>
            <w:hideMark/>
          </w:tcPr>
          <w:p w14:paraId="2114BB3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294" w:type="dxa"/>
            <w:tcBorders>
              <w:top w:val="nil"/>
              <w:left w:val="nil"/>
              <w:bottom w:val="nil"/>
              <w:right w:val="nil"/>
            </w:tcBorders>
            <w:shd w:val="clear" w:color="auto" w:fill="auto"/>
            <w:noWrap/>
            <w:vAlign w:val="center"/>
            <w:hideMark/>
          </w:tcPr>
          <w:p w14:paraId="335FA5E5"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39E2EE62"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061817A3"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1144" w:type="dxa"/>
            <w:tcBorders>
              <w:top w:val="nil"/>
              <w:left w:val="nil"/>
              <w:bottom w:val="nil"/>
              <w:right w:val="nil"/>
            </w:tcBorders>
            <w:shd w:val="clear" w:color="auto" w:fill="auto"/>
            <w:noWrap/>
            <w:vAlign w:val="center"/>
            <w:hideMark/>
          </w:tcPr>
          <w:p w14:paraId="654F8C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1182" w:type="dxa"/>
            <w:tcBorders>
              <w:top w:val="nil"/>
              <w:left w:val="nil"/>
              <w:bottom w:val="nil"/>
              <w:right w:val="nil"/>
            </w:tcBorders>
            <w:shd w:val="clear" w:color="auto" w:fill="auto"/>
            <w:noWrap/>
            <w:vAlign w:val="center"/>
            <w:hideMark/>
          </w:tcPr>
          <w:p w14:paraId="37C16A8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1081" w:type="dxa"/>
            <w:tcBorders>
              <w:top w:val="nil"/>
              <w:left w:val="nil"/>
              <w:bottom w:val="nil"/>
              <w:right w:val="nil"/>
            </w:tcBorders>
            <w:shd w:val="clear" w:color="auto" w:fill="auto"/>
            <w:noWrap/>
            <w:vAlign w:val="center"/>
            <w:hideMark/>
          </w:tcPr>
          <w:p w14:paraId="122057C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1081" w:type="dxa"/>
            <w:tcBorders>
              <w:top w:val="nil"/>
              <w:left w:val="nil"/>
              <w:bottom w:val="nil"/>
              <w:right w:val="nil"/>
            </w:tcBorders>
            <w:shd w:val="clear" w:color="auto" w:fill="auto"/>
            <w:noWrap/>
            <w:vAlign w:val="center"/>
            <w:hideMark/>
          </w:tcPr>
          <w:p w14:paraId="7DD4DAAA"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shd w:val="clear" w:color="auto" w:fill="auto"/>
            <w:noWrap/>
            <w:vAlign w:val="center"/>
            <w:hideMark/>
          </w:tcPr>
          <w:p w14:paraId="69D596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294" w:type="dxa"/>
            <w:tcBorders>
              <w:top w:val="nil"/>
              <w:left w:val="nil"/>
              <w:bottom w:val="nil"/>
              <w:right w:val="nil"/>
            </w:tcBorders>
            <w:shd w:val="clear" w:color="auto" w:fill="auto"/>
            <w:noWrap/>
            <w:vAlign w:val="center"/>
            <w:hideMark/>
          </w:tcPr>
          <w:p w14:paraId="41F6F35C"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5A8FF72"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51DFF6E6"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1144" w:type="dxa"/>
            <w:tcBorders>
              <w:top w:val="nil"/>
              <w:left w:val="nil"/>
              <w:bottom w:val="nil"/>
              <w:right w:val="nil"/>
            </w:tcBorders>
            <w:shd w:val="clear" w:color="auto" w:fill="auto"/>
            <w:noWrap/>
            <w:vAlign w:val="center"/>
            <w:hideMark/>
          </w:tcPr>
          <w:p w14:paraId="180FB2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1182" w:type="dxa"/>
            <w:tcBorders>
              <w:top w:val="nil"/>
              <w:left w:val="nil"/>
              <w:bottom w:val="nil"/>
              <w:right w:val="nil"/>
            </w:tcBorders>
            <w:shd w:val="clear" w:color="auto" w:fill="auto"/>
            <w:noWrap/>
            <w:vAlign w:val="center"/>
            <w:hideMark/>
          </w:tcPr>
          <w:p w14:paraId="2D3E621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1081" w:type="dxa"/>
            <w:tcBorders>
              <w:top w:val="nil"/>
              <w:left w:val="nil"/>
              <w:bottom w:val="nil"/>
              <w:right w:val="nil"/>
            </w:tcBorders>
            <w:shd w:val="clear" w:color="auto" w:fill="auto"/>
            <w:noWrap/>
            <w:vAlign w:val="center"/>
            <w:hideMark/>
          </w:tcPr>
          <w:p w14:paraId="4D44C9B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1081" w:type="dxa"/>
            <w:tcBorders>
              <w:top w:val="nil"/>
              <w:left w:val="nil"/>
              <w:bottom w:val="nil"/>
              <w:right w:val="nil"/>
            </w:tcBorders>
            <w:shd w:val="clear" w:color="auto" w:fill="auto"/>
            <w:noWrap/>
            <w:vAlign w:val="center"/>
            <w:hideMark/>
          </w:tcPr>
          <w:p w14:paraId="62FA68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1082" w:type="dxa"/>
            <w:tcBorders>
              <w:top w:val="nil"/>
              <w:left w:val="nil"/>
              <w:bottom w:val="nil"/>
              <w:right w:val="nil"/>
            </w:tcBorders>
            <w:shd w:val="clear" w:color="auto" w:fill="auto"/>
            <w:noWrap/>
            <w:vAlign w:val="center"/>
            <w:hideMark/>
          </w:tcPr>
          <w:p w14:paraId="3B96A1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294" w:type="dxa"/>
            <w:tcBorders>
              <w:top w:val="nil"/>
              <w:left w:val="nil"/>
              <w:bottom w:val="nil"/>
              <w:right w:val="nil"/>
            </w:tcBorders>
            <w:shd w:val="clear" w:color="auto" w:fill="auto"/>
            <w:noWrap/>
            <w:vAlign w:val="center"/>
            <w:hideMark/>
          </w:tcPr>
          <w:p w14:paraId="1CB638A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B293F6C"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0F5C6D8B"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1144" w:type="dxa"/>
            <w:tcBorders>
              <w:top w:val="nil"/>
              <w:left w:val="nil"/>
              <w:bottom w:val="nil"/>
              <w:right w:val="nil"/>
            </w:tcBorders>
            <w:shd w:val="clear" w:color="auto" w:fill="auto"/>
            <w:noWrap/>
            <w:vAlign w:val="center"/>
            <w:hideMark/>
          </w:tcPr>
          <w:p w14:paraId="67E318A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1182" w:type="dxa"/>
            <w:tcBorders>
              <w:top w:val="nil"/>
              <w:left w:val="nil"/>
              <w:bottom w:val="nil"/>
              <w:right w:val="nil"/>
            </w:tcBorders>
            <w:shd w:val="clear" w:color="auto" w:fill="auto"/>
            <w:noWrap/>
            <w:vAlign w:val="center"/>
            <w:hideMark/>
          </w:tcPr>
          <w:p w14:paraId="0E35B0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1081" w:type="dxa"/>
            <w:tcBorders>
              <w:top w:val="nil"/>
              <w:left w:val="nil"/>
              <w:bottom w:val="nil"/>
              <w:right w:val="nil"/>
            </w:tcBorders>
            <w:shd w:val="clear" w:color="auto" w:fill="auto"/>
            <w:noWrap/>
            <w:vAlign w:val="center"/>
            <w:hideMark/>
          </w:tcPr>
          <w:p w14:paraId="3CC05B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1081" w:type="dxa"/>
            <w:tcBorders>
              <w:top w:val="nil"/>
              <w:left w:val="nil"/>
              <w:bottom w:val="nil"/>
              <w:right w:val="nil"/>
            </w:tcBorders>
            <w:shd w:val="clear" w:color="auto" w:fill="auto"/>
            <w:noWrap/>
            <w:vAlign w:val="center"/>
            <w:hideMark/>
          </w:tcPr>
          <w:p w14:paraId="3A83A1F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1082" w:type="dxa"/>
            <w:tcBorders>
              <w:top w:val="nil"/>
              <w:left w:val="nil"/>
              <w:bottom w:val="nil"/>
              <w:right w:val="nil"/>
            </w:tcBorders>
            <w:shd w:val="clear" w:color="auto" w:fill="auto"/>
            <w:noWrap/>
            <w:vAlign w:val="center"/>
            <w:hideMark/>
          </w:tcPr>
          <w:p w14:paraId="66E9070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294" w:type="dxa"/>
            <w:tcBorders>
              <w:top w:val="nil"/>
              <w:left w:val="nil"/>
              <w:bottom w:val="nil"/>
              <w:right w:val="nil"/>
            </w:tcBorders>
            <w:shd w:val="clear" w:color="auto" w:fill="auto"/>
            <w:noWrap/>
            <w:vAlign w:val="center"/>
            <w:hideMark/>
          </w:tcPr>
          <w:p w14:paraId="14BF54E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1FE343F"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4872BE5E"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1144" w:type="dxa"/>
            <w:tcBorders>
              <w:top w:val="nil"/>
              <w:left w:val="nil"/>
              <w:bottom w:val="nil"/>
              <w:right w:val="nil"/>
            </w:tcBorders>
            <w:shd w:val="clear" w:color="auto" w:fill="auto"/>
            <w:noWrap/>
            <w:vAlign w:val="center"/>
            <w:hideMark/>
          </w:tcPr>
          <w:p w14:paraId="74FDF57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1182" w:type="dxa"/>
            <w:tcBorders>
              <w:top w:val="nil"/>
              <w:left w:val="nil"/>
              <w:bottom w:val="nil"/>
              <w:right w:val="nil"/>
            </w:tcBorders>
            <w:shd w:val="clear" w:color="auto" w:fill="auto"/>
            <w:noWrap/>
            <w:vAlign w:val="center"/>
            <w:hideMark/>
          </w:tcPr>
          <w:p w14:paraId="4DBE9D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1081" w:type="dxa"/>
            <w:tcBorders>
              <w:top w:val="nil"/>
              <w:left w:val="nil"/>
              <w:bottom w:val="nil"/>
              <w:right w:val="nil"/>
            </w:tcBorders>
            <w:shd w:val="clear" w:color="auto" w:fill="auto"/>
            <w:noWrap/>
            <w:vAlign w:val="center"/>
            <w:hideMark/>
          </w:tcPr>
          <w:p w14:paraId="24AC945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1081" w:type="dxa"/>
            <w:tcBorders>
              <w:top w:val="nil"/>
              <w:left w:val="nil"/>
              <w:bottom w:val="nil"/>
              <w:right w:val="nil"/>
            </w:tcBorders>
            <w:shd w:val="clear" w:color="auto" w:fill="auto"/>
            <w:noWrap/>
            <w:vAlign w:val="center"/>
            <w:hideMark/>
          </w:tcPr>
          <w:p w14:paraId="0BC45FF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1082" w:type="dxa"/>
            <w:tcBorders>
              <w:top w:val="nil"/>
              <w:left w:val="nil"/>
              <w:bottom w:val="nil"/>
              <w:right w:val="nil"/>
            </w:tcBorders>
            <w:shd w:val="clear" w:color="auto" w:fill="auto"/>
            <w:noWrap/>
            <w:vAlign w:val="center"/>
            <w:hideMark/>
          </w:tcPr>
          <w:p w14:paraId="07A3738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294" w:type="dxa"/>
            <w:tcBorders>
              <w:top w:val="nil"/>
              <w:left w:val="nil"/>
              <w:bottom w:val="nil"/>
              <w:right w:val="nil"/>
            </w:tcBorders>
            <w:shd w:val="clear" w:color="auto" w:fill="auto"/>
            <w:noWrap/>
            <w:vAlign w:val="center"/>
            <w:hideMark/>
          </w:tcPr>
          <w:p w14:paraId="2494F816"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2157B58A"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1026F6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1144" w:type="dxa"/>
            <w:tcBorders>
              <w:top w:val="nil"/>
              <w:left w:val="nil"/>
              <w:bottom w:val="nil"/>
              <w:right w:val="nil"/>
            </w:tcBorders>
            <w:shd w:val="clear" w:color="auto" w:fill="auto"/>
            <w:noWrap/>
            <w:vAlign w:val="center"/>
            <w:hideMark/>
          </w:tcPr>
          <w:p w14:paraId="41CF681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1182" w:type="dxa"/>
            <w:tcBorders>
              <w:top w:val="nil"/>
              <w:left w:val="nil"/>
              <w:bottom w:val="nil"/>
              <w:right w:val="nil"/>
            </w:tcBorders>
            <w:shd w:val="clear" w:color="auto" w:fill="auto"/>
            <w:noWrap/>
            <w:vAlign w:val="center"/>
            <w:hideMark/>
          </w:tcPr>
          <w:p w14:paraId="4CD9D5C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1081" w:type="dxa"/>
            <w:tcBorders>
              <w:top w:val="nil"/>
              <w:left w:val="nil"/>
              <w:bottom w:val="nil"/>
              <w:right w:val="nil"/>
            </w:tcBorders>
            <w:shd w:val="clear" w:color="auto" w:fill="auto"/>
            <w:noWrap/>
            <w:vAlign w:val="center"/>
            <w:hideMark/>
          </w:tcPr>
          <w:p w14:paraId="5BEC45A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081" w:type="dxa"/>
            <w:tcBorders>
              <w:top w:val="nil"/>
              <w:left w:val="nil"/>
              <w:bottom w:val="nil"/>
              <w:right w:val="nil"/>
            </w:tcBorders>
            <w:shd w:val="clear" w:color="auto" w:fill="auto"/>
            <w:noWrap/>
            <w:vAlign w:val="center"/>
            <w:hideMark/>
          </w:tcPr>
          <w:p w14:paraId="1239279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1082" w:type="dxa"/>
            <w:tcBorders>
              <w:top w:val="nil"/>
              <w:left w:val="nil"/>
              <w:bottom w:val="nil"/>
              <w:right w:val="nil"/>
            </w:tcBorders>
            <w:shd w:val="clear" w:color="auto" w:fill="auto"/>
            <w:noWrap/>
            <w:vAlign w:val="center"/>
            <w:hideMark/>
          </w:tcPr>
          <w:p w14:paraId="35B13C8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294" w:type="dxa"/>
            <w:tcBorders>
              <w:top w:val="nil"/>
              <w:left w:val="nil"/>
              <w:bottom w:val="nil"/>
              <w:right w:val="nil"/>
            </w:tcBorders>
            <w:shd w:val="clear" w:color="auto" w:fill="auto"/>
            <w:noWrap/>
            <w:vAlign w:val="center"/>
            <w:hideMark/>
          </w:tcPr>
          <w:p w14:paraId="6B6BCB00"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6DD21848"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3CDC303F"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1144" w:type="dxa"/>
            <w:tcBorders>
              <w:top w:val="nil"/>
              <w:left w:val="nil"/>
              <w:bottom w:val="nil"/>
              <w:right w:val="nil"/>
            </w:tcBorders>
            <w:shd w:val="clear" w:color="auto" w:fill="auto"/>
            <w:noWrap/>
            <w:vAlign w:val="center"/>
            <w:hideMark/>
          </w:tcPr>
          <w:p w14:paraId="6633B4C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1182" w:type="dxa"/>
            <w:tcBorders>
              <w:top w:val="nil"/>
              <w:left w:val="nil"/>
              <w:bottom w:val="nil"/>
              <w:right w:val="nil"/>
            </w:tcBorders>
            <w:shd w:val="clear" w:color="auto" w:fill="auto"/>
            <w:noWrap/>
            <w:vAlign w:val="center"/>
            <w:hideMark/>
          </w:tcPr>
          <w:p w14:paraId="68AC2D7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1081" w:type="dxa"/>
            <w:tcBorders>
              <w:top w:val="nil"/>
              <w:left w:val="nil"/>
              <w:bottom w:val="nil"/>
              <w:right w:val="nil"/>
            </w:tcBorders>
            <w:shd w:val="clear" w:color="auto" w:fill="auto"/>
            <w:noWrap/>
            <w:vAlign w:val="center"/>
            <w:hideMark/>
          </w:tcPr>
          <w:p w14:paraId="3058CD8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1081" w:type="dxa"/>
            <w:tcBorders>
              <w:top w:val="nil"/>
              <w:left w:val="nil"/>
              <w:bottom w:val="nil"/>
              <w:right w:val="nil"/>
            </w:tcBorders>
            <w:shd w:val="clear" w:color="auto" w:fill="auto"/>
            <w:noWrap/>
            <w:vAlign w:val="center"/>
            <w:hideMark/>
          </w:tcPr>
          <w:p w14:paraId="59D271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1082" w:type="dxa"/>
            <w:tcBorders>
              <w:top w:val="nil"/>
              <w:left w:val="nil"/>
              <w:bottom w:val="nil"/>
              <w:right w:val="nil"/>
            </w:tcBorders>
            <w:shd w:val="clear" w:color="auto" w:fill="auto"/>
            <w:noWrap/>
            <w:vAlign w:val="center"/>
            <w:hideMark/>
          </w:tcPr>
          <w:p w14:paraId="794E206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294" w:type="dxa"/>
            <w:tcBorders>
              <w:top w:val="nil"/>
              <w:left w:val="nil"/>
              <w:bottom w:val="nil"/>
              <w:right w:val="nil"/>
            </w:tcBorders>
            <w:shd w:val="clear" w:color="auto" w:fill="auto"/>
            <w:noWrap/>
            <w:vAlign w:val="center"/>
            <w:hideMark/>
          </w:tcPr>
          <w:p w14:paraId="453DC597"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4DDFD46"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2FFA67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1144" w:type="dxa"/>
            <w:tcBorders>
              <w:top w:val="nil"/>
              <w:left w:val="nil"/>
              <w:bottom w:val="nil"/>
              <w:right w:val="nil"/>
            </w:tcBorders>
            <w:shd w:val="clear" w:color="auto" w:fill="auto"/>
            <w:noWrap/>
            <w:vAlign w:val="center"/>
            <w:hideMark/>
          </w:tcPr>
          <w:p w14:paraId="3465A34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1182" w:type="dxa"/>
            <w:tcBorders>
              <w:top w:val="nil"/>
              <w:left w:val="nil"/>
              <w:bottom w:val="nil"/>
              <w:right w:val="nil"/>
            </w:tcBorders>
            <w:shd w:val="clear" w:color="auto" w:fill="auto"/>
            <w:noWrap/>
            <w:vAlign w:val="center"/>
            <w:hideMark/>
          </w:tcPr>
          <w:p w14:paraId="3A35282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1081" w:type="dxa"/>
            <w:tcBorders>
              <w:top w:val="nil"/>
              <w:left w:val="nil"/>
              <w:bottom w:val="nil"/>
              <w:right w:val="nil"/>
            </w:tcBorders>
            <w:shd w:val="clear" w:color="auto" w:fill="auto"/>
            <w:noWrap/>
            <w:vAlign w:val="center"/>
            <w:hideMark/>
          </w:tcPr>
          <w:p w14:paraId="2451CF0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1081" w:type="dxa"/>
            <w:tcBorders>
              <w:top w:val="nil"/>
              <w:left w:val="nil"/>
              <w:bottom w:val="nil"/>
              <w:right w:val="nil"/>
            </w:tcBorders>
            <w:shd w:val="clear" w:color="auto" w:fill="auto"/>
            <w:noWrap/>
            <w:vAlign w:val="center"/>
            <w:hideMark/>
          </w:tcPr>
          <w:p w14:paraId="717F691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1082" w:type="dxa"/>
            <w:tcBorders>
              <w:top w:val="nil"/>
              <w:left w:val="nil"/>
              <w:bottom w:val="nil"/>
              <w:right w:val="nil"/>
            </w:tcBorders>
            <w:shd w:val="clear" w:color="auto" w:fill="auto"/>
            <w:noWrap/>
            <w:vAlign w:val="center"/>
            <w:hideMark/>
          </w:tcPr>
          <w:p w14:paraId="3FEEE6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294" w:type="dxa"/>
            <w:tcBorders>
              <w:top w:val="nil"/>
              <w:left w:val="nil"/>
              <w:bottom w:val="nil"/>
              <w:right w:val="nil"/>
            </w:tcBorders>
            <w:shd w:val="clear" w:color="auto" w:fill="auto"/>
            <w:noWrap/>
            <w:vAlign w:val="center"/>
            <w:hideMark/>
          </w:tcPr>
          <w:p w14:paraId="4B108C2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B0C2F5A"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634A5459"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1144" w:type="dxa"/>
            <w:tcBorders>
              <w:top w:val="nil"/>
              <w:left w:val="nil"/>
              <w:bottom w:val="nil"/>
              <w:right w:val="nil"/>
            </w:tcBorders>
            <w:shd w:val="clear" w:color="auto" w:fill="auto"/>
            <w:noWrap/>
            <w:vAlign w:val="center"/>
            <w:hideMark/>
          </w:tcPr>
          <w:p w14:paraId="3592C61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shd w:val="clear" w:color="auto" w:fill="auto"/>
            <w:noWrap/>
            <w:vAlign w:val="center"/>
            <w:hideMark/>
          </w:tcPr>
          <w:p w14:paraId="5AC5CEB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shd w:val="clear" w:color="auto" w:fill="auto"/>
            <w:noWrap/>
            <w:vAlign w:val="center"/>
            <w:hideMark/>
          </w:tcPr>
          <w:p w14:paraId="71995B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1081" w:type="dxa"/>
            <w:tcBorders>
              <w:top w:val="nil"/>
              <w:left w:val="nil"/>
              <w:bottom w:val="nil"/>
              <w:right w:val="nil"/>
            </w:tcBorders>
            <w:shd w:val="clear" w:color="auto" w:fill="auto"/>
            <w:noWrap/>
            <w:vAlign w:val="center"/>
            <w:hideMark/>
          </w:tcPr>
          <w:p w14:paraId="235000E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1082" w:type="dxa"/>
            <w:tcBorders>
              <w:top w:val="nil"/>
              <w:left w:val="nil"/>
              <w:bottom w:val="nil"/>
              <w:right w:val="nil"/>
            </w:tcBorders>
            <w:shd w:val="clear" w:color="auto" w:fill="auto"/>
            <w:noWrap/>
            <w:vAlign w:val="center"/>
            <w:hideMark/>
          </w:tcPr>
          <w:p w14:paraId="4F402B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294" w:type="dxa"/>
            <w:tcBorders>
              <w:top w:val="nil"/>
              <w:left w:val="nil"/>
              <w:bottom w:val="nil"/>
              <w:right w:val="nil"/>
            </w:tcBorders>
            <w:shd w:val="clear" w:color="auto" w:fill="auto"/>
            <w:noWrap/>
            <w:vAlign w:val="center"/>
            <w:hideMark/>
          </w:tcPr>
          <w:p w14:paraId="6BE0683F"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4EC80F19"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3D8149EA"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1144" w:type="dxa"/>
            <w:tcBorders>
              <w:top w:val="nil"/>
              <w:left w:val="nil"/>
              <w:bottom w:val="nil"/>
              <w:right w:val="nil"/>
            </w:tcBorders>
            <w:shd w:val="clear" w:color="auto" w:fill="auto"/>
            <w:noWrap/>
            <w:vAlign w:val="center"/>
            <w:hideMark/>
          </w:tcPr>
          <w:p w14:paraId="23FD750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shd w:val="clear" w:color="auto" w:fill="auto"/>
            <w:noWrap/>
            <w:vAlign w:val="center"/>
            <w:hideMark/>
          </w:tcPr>
          <w:p w14:paraId="4D7F00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1081" w:type="dxa"/>
            <w:tcBorders>
              <w:top w:val="nil"/>
              <w:left w:val="nil"/>
              <w:bottom w:val="nil"/>
              <w:right w:val="nil"/>
            </w:tcBorders>
            <w:shd w:val="clear" w:color="auto" w:fill="auto"/>
            <w:noWrap/>
            <w:vAlign w:val="center"/>
            <w:hideMark/>
          </w:tcPr>
          <w:p w14:paraId="1C461DB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shd w:val="clear" w:color="auto" w:fill="auto"/>
            <w:noWrap/>
            <w:vAlign w:val="center"/>
            <w:hideMark/>
          </w:tcPr>
          <w:p w14:paraId="48EE90D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1082" w:type="dxa"/>
            <w:tcBorders>
              <w:top w:val="nil"/>
              <w:left w:val="nil"/>
              <w:bottom w:val="nil"/>
              <w:right w:val="nil"/>
            </w:tcBorders>
            <w:shd w:val="clear" w:color="auto" w:fill="auto"/>
            <w:noWrap/>
            <w:vAlign w:val="center"/>
            <w:hideMark/>
          </w:tcPr>
          <w:p w14:paraId="0336FA5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294" w:type="dxa"/>
            <w:tcBorders>
              <w:top w:val="nil"/>
              <w:left w:val="nil"/>
              <w:bottom w:val="nil"/>
              <w:right w:val="nil"/>
            </w:tcBorders>
            <w:shd w:val="clear" w:color="auto" w:fill="auto"/>
            <w:noWrap/>
            <w:vAlign w:val="center"/>
            <w:hideMark/>
          </w:tcPr>
          <w:p w14:paraId="6F2DE571"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85A0825" w14:textId="77777777" w:rsidTr="00287950">
        <w:trPr>
          <w:trHeight w:val="338"/>
          <w:jc w:val="center"/>
        </w:trPr>
        <w:tc>
          <w:tcPr>
            <w:tcW w:w="1106" w:type="dxa"/>
            <w:tcBorders>
              <w:top w:val="nil"/>
              <w:left w:val="nil"/>
              <w:bottom w:val="single" w:sz="4" w:space="0" w:color="auto"/>
              <w:right w:val="nil"/>
            </w:tcBorders>
            <w:shd w:val="clear" w:color="auto" w:fill="auto"/>
            <w:noWrap/>
            <w:vAlign w:val="center"/>
            <w:hideMark/>
          </w:tcPr>
          <w:p w14:paraId="6BF803D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1144" w:type="dxa"/>
            <w:tcBorders>
              <w:top w:val="nil"/>
              <w:left w:val="nil"/>
              <w:bottom w:val="single" w:sz="4" w:space="0" w:color="auto"/>
              <w:right w:val="nil"/>
            </w:tcBorders>
            <w:shd w:val="clear" w:color="auto" w:fill="auto"/>
            <w:noWrap/>
            <w:vAlign w:val="center"/>
            <w:hideMark/>
          </w:tcPr>
          <w:p w14:paraId="24B7BC6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single" w:sz="4" w:space="0" w:color="auto"/>
              <w:right w:val="nil"/>
            </w:tcBorders>
            <w:shd w:val="clear" w:color="auto" w:fill="auto"/>
            <w:noWrap/>
            <w:vAlign w:val="center"/>
            <w:hideMark/>
          </w:tcPr>
          <w:p w14:paraId="37C278FB"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1081" w:type="dxa"/>
            <w:tcBorders>
              <w:top w:val="nil"/>
              <w:left w:val="nil"/>
              <w:bottom w:val="single" w:sz="4" w:space="0" w:color="auto"/>
              <w:right w:val="nil"/>
            </w:tcBorders>
            <w:shd w:val="clear" w:color="auto" w:fill="auto"/>
            <w:noWrap/>
            <w:vAlign w:val="center"/>
            <w:hideMark/>
          </w:tcPr>
          <w:p w14:paraId="3AA8015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1081" w:type="dxa"/>
            <w:tcBorders>
              <w:top w:val="nil"/>
              <w:left w:val="nil"/>
              <w:bottom w:val="single" w:sz="4" w:space="0" w:color="auto"/>
              <w:right w:val="nil"/>
            </w:tcBorders>
            <w:shd w:val="clear" w:color="auto" w:fill="auto"/>
            <w:noWrap/>
            <w:vAlign w:val="center"/>
            <w:hideMark/>
          </w:tcPr>
          <w:p w14:paraId="5A4722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1082" w:type="dxa"/>
            <w:tcBorders>
              <w:top w:val="nil"/>
              <w:left w:val="nil"/>
              <w:bottom w:val="single" w:sz="4" w:space="0" w:color="auto"/>
              <w:right w:val="nil"/>
            </w:tcBorders>
            <w:shd w:val="clear" w:color="auto" w:fill="auto"/>
            <w:noWrap/>
            <w:vAlign w:val="center"/>
            <w:hideMark/>
          </w:tcPr>
          <w:p w14:paraId="7604149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294" w:type="dxa"/>
            <w:tcBorders>
              <w:top w:val="nil"/>
              <w:left w:val="nil"/>
              <w:bottom w:val="single" w:sz="4" w:space="0" w:color="auto"/>
              <w:right w:val="nil"/>
            </w:tcBorders>
            <w:shd w:val="clear" w:color="auto" w:fill="auto"/>
            <w:noWrap/>
            <w:vAlign w:val="center"/>
            <w:hideMark/>
          </w:tcPr>
          <w:p w14:paraId="1596E19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0B4DA9C2"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3D7623FC" w14:textId="77777777" w:rsidR="00871CC3" w:rsidRPr="00F2448C"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7E6497B3" w14:textId="77777777" w:rsidR="00167A27"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04D06F46" w14:textId="361FD614" w:rsidR="004457C0" w:rsidRPr="00F2448C" w:rsidRDefault="004457C0"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proofErr w:type="spellStart"/>
      <w:r w:rsidR="003F36C9" w:rsidRPr="00F2448C">
        <w:rPr>
          <w:rFonts w:ascii="Times New Roman" w:eastAsia="Times New Roman" w:hAnsi="Times New Roman" w:cs="Times New Roman"/>
          <w:sz w:val="20"/>
          <w:lang w:val="en-GB" w:eastAsia="en-IN"/>
        </w:rPr>
        <w:t>Cella</w:t>
      </w:r>
      <w:proofErr w:type="spellEnd"/>
      <w:r w:rsidR="003F36C9" w:rsidRPr="00F2448C">
        <w:rPr>
          <w:rFonts w:ascii="Times New Roman" w:eastAsia="Times New Roman" w:hAnsi="Times New Roman" w:cs="Times New Roman"/>
          <w:sz w:val="20"/>
          <w:lang w:val="en-GB" w:eastAsia="en-IN"/>
        </w:rPr>
        <w:t xml:space="preserve">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xml:space="preserve">. </w:t>
      </w:r>
      <w:proofErr w:type="spellStart"/>
      <w:r w:rsidR="00F1766D" w:rsidRPr="00F2448C">
        <w:rPr>
          <w:rFonts w:ascii="Times New Roman" w:hAnsi="Times New Roman" w:cs="Times New Roman"/>
          <w:iCs/>
          <w:sz w:val="20"/>
          <w:lang w:val="en-GB"/>
        </w:rPr>
        <w:t>Manag</w:t>
      </w:r>
      <w:proofErr w:type="spellEnd"/>
      <w:r w:rsidR="00F1766D" w:rsidRPr="00F2448C">
        <w:rPr>
          <w:rFonts w:ascii="Times New Roman" w:hAnsi="Times New Roman" w:cs="Times New Roman"/>
          <w:iCs/>
          <w:sz w:val="20"/>
          <w:lang w:val="en-GB"/>
        </w:rPr>
        <w:t>.</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Cella</w:t>
      </w:r>
      <w:proofErr w:type="spellEnd"/>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L. and </w:t>
      </w:r>
      <w:proofErr w:type="spellStart"/>
      <w:r w:rsidRPr="00F2448C">
        <w:rPr>
          <w:rFonts w:ascii="Times New Roman" w:hAnsi="Times New Roman" w:cs="Times New Roman"/>
          <w:sz w:val="20"/>
          <w:lang w:val="en-GB"/>
        </w:rPr>
        <w:t>Wójcik</w:t>
      </w:r>
      <w:proofErr w:type="spellEnd"/>
      <w:r w:rsidRPr="00F2448C">
        <w:rPr>
          <w:rFonts w:ascii="Times New Roman" w:hAnsi="Times New Roman" w:cs="Times New Roman"/>
          <w:sz w:val="20"/>
          <w:lang w:val="en-GB"/>
        </w:rPr>
        <w:t>,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Dasgupta</w:t>
      </w:r>
      <w:proofErr w:type="spellEnd"/>
      <w:r w:rsidRPr="00F2448C">
        <w:rPr>
          <w:rFonts w:ascii="Times New Roman" w:hAnsi="Times New Roman" w:cs="Times New Roman"/>
          <w:sz w:val="20"/>
          <w:lang w:val="en-GB"/>
        </w:rPr>
        <w:t xml:space="preserve">, A., Prat, A. and </w:t>
      </w:r>
      <w:proofErr w:type="spellStart"/>
      <w:r w:rsidRPr="00F2448C">
        <w:rPr>
          <w:rFonts w:ascii="Times New Roman" w:hAnsi="Times New Roman" w:cs="Times New Roman"/>
          <w:sz w:val="20"/>
          <w:lang w:val="en-GB"/>
        </w:rPr>
        <w:t>Verardo</w:t>
      </w:r>
      <w:proofErr w:type="spellEnd"/>
      <w:r w:rsidRPr="00F2448C">
        <w:rPr>
          <w:rFonts w:ascii="Times New Roman" w:hAnsi="Times New Roman" w:cs="Times New Roman"/>
          <w:sz w:val="20"/>
          <w:lang w:val="en-GB"/>
        </w:rPr>
        <w:t>,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lastRenderedPageBreak/>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A. and </w:t>
      </w:r>
      <w:proofErr w:type="spellStart"/>
      <w:r w:rsidRPr="00F2448C">
        <w:rPr>
          <w:rFonts w:ascii="Times New Roman" w:hAnsi="Times New Roman" w:cs="Times New Roman"/>
          <w:sz w:val="20"/>
          <w:lang w:val="en-GB"/>
        </w:rPr>
        <w:t>Metrick</w:t>
      </w:r>
      <w:proofErr w:type="spellEnd"/>
      <w:r w:rsidRPr="00F2448C">
        <w:rPr>
          <w:rFonts w:ascii="Times New Roman" w:hAnsi="Times New Roman" w:cs="Times New Roman"/>
          <w:sz w:val="20"/>
          <w:lang w:val="en-GB"/>
        </w:rPr>
        <w:t>,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 xml:space="preserve">A </w:t>
      </w:r>
      <w:bookmarkStart w:id="0" w:name="_GoBack"/>
      <w:bookmarkEnd w:id="0"/>
      <w:r w:rsidRPr="00F2448C">
        <w:rPr>
          <w:rFonts w:ascii="Times New Roman" w:hAnsi="Times New Roman" w:cs="Times New Roman"/>
          <w:i/>
          <w:sz w:val="20"/>
          <w:lang w:val="en-GB"/>
        </w:rPr>
        <w:t>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La </w:t>
      </w:r>
      <w:proofErr w:type="spellStart"/>
      <w:r w:rsidRPr="00F2448C">
        <w:rPr>
          <w:rFonts w:ascii="Times New Roman" w:hAnsi="Times New Roman" w:cs="Times New Roman"/>
          <w:sz w:val="20"/>
          <w:lang w:val="en-GB"/>
        </w:rPr>
        <w:t>Porta</w:t>
      </w:r>
      <w:proofErr w:type="spellEnd"/>
      <w:r w:rsidRPr="00F2448C">
        <w:rPr>
          <w:rFonts w:ascii="Times New Roman" w:hAnsi="Times New Roman" w:cs="Times New Roman"/>
          <w:sz w:val="20"/>
          <w:lang w:val="en-GB"/>
        </w:rPr>
        <w:t>, R., Lopez‐de‐</w:t>
      </w:r>
      <w:proofErr w:type="spellStart"/>
      <w:r w:rsidRPr="00F2448C">
        <w:rPr>
          <w:rFonts w:ascii="Times New Roman" w:hAnsi="Times New Roman" w:cs="Times New Roman"/>
          <w:sz w:val="20"/>
          <w:lang w:val="en-GB"/>
        </w:rPr>
        <w:t>Silanes</w:t>
      </w:r>
      <w:proofErr w:type="spellEnd"/>
      <w:r w:rsidRPr="00F2448C">
        <w:rPr>
          <w:rFonts w:ascii="Times New Roman" w:hAnsi="Times New Roman" w:cs="Times New Roman"/>
          <w:sz w:val="20"/>
          <w:lang w:val="en-GB"/>
        </w:rPr>
        <w:t xml:space="preserve">, F., and </w:t>
      </w: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w:t>
      </w:r>
      <w:proofErr w:type="spellStart"/>
      <w:r w:rsidRPr="00F2448C">
        <w:rPr>
          <w:rFonts w:ascii="Times New Roman" w:hAnsi="Times New Roman" w:cs="Times New Roman"/>
          <w:sz w:val="20"/>
          <w:lang w:val="en-GB"/>
        </w:rPr>
        <w:t>Zoysa</w:t>
      </w:r>
      <w:proofErr w:type="spellEnd"/>
      <w:r w:rsidRPr="00F2448C">
        <w:rPr>
          <w:rFonts w:ascii="Times New Roman" w:hAnsi="Times New Roman" w:cs="Times New Roman"/>
          <w:sz w:val="20"/>
          <w:lang w:val="en-GB"/>
        </w:rPr>
        <w:t xml:space="preserve">, A., and </w:t>
      </w:r>
      <w:proofErr w:type="spellStart"/>
      <w:r w:rsidRPr="00F2448C">
        <w:rPr>
          <w:rFonts w:ascii="Times New Roman" w:hAnsi="Times New Roman" w:cs="Times New Roman"/>
          <w:sz w:val="20"/>
          <w:lang w:val="en-GB"/>
        </w:rPr>
        <w:t>Rudkin</w:t>
      </w:r>
      <w:proofErr w:type="spellEnd"/>
      <w:r w:rsidRPr="00F2448C">
        <w:rPr>
          <w:rFonts w:ascii="Times New Roman" w:hAnsi="Times New Roman" w:cs="Times New Roman"/>
          <w:sz w:val="20"/>
          <w:lang w:val="en-GB"/>
        </w:rPr>
        <w:t>,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and </w:t>
      </w:r>
      <w:proofErr w:type="spellStart"/>
      <w:r w:rsidRPr="00F2448C">
        <w:rPr>
          <w:rFonts w:ascii="Times New Roman" w:hAnsi="Times New Roman" w:cs="Times New Roman"/>
          <w:sz w:val="20"/>
          <w:lang w:val="en-GB"/>
        </w:rPr>
        <w:t>Hamzah</w:t>
      </w:r>
      <w:proofErr w:type="spellEnd"/>
      <w:r w:rsidRPr="00F2448C">
        <w:rPr>
          <w:rFonts w:ascii="Times New Roman" w:hAnsi="Times New Roman" w:cs="Times New Roman"/>
          <w:sz w:val="20"/>
          <w:lang w:val="en-GB"/>
        </w:rPr>
        <w:t>,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proofErr w:type="spellStart"/>
      <w:r w:rsidRPr="00F2448C">
        <w:rPr>
          <w:rFonts w:ascii="Times New Roman" w:hAnsi="Times New Roman" w:cs="Times New Roman"/>
          <w:sz w:val="20"/>
          <w:lang w:val="en-GB"/>
        </w:rPr>
        <w:t>Sikorski</w:t>
      </w:r>
      <w:proofErr w:type="spellEnd"/>
      <w:r w:rsidRPr="00F2448C">
        <w:rPr>
          <w:rFonts w:ascii="Times New Roman" w:hAnsi="Times New Roman" w:cs="Times New Roman"/>
          <w:sz w:val="20"/>
          <w:lang w:val="en-GB"/>
        </w:rPr>
        <w:t>,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proofErr w:type="gramStart"/>
      <w:r w:rsidR="00B37E91" w:rsidRPr="00F2448C">
        <w:rPr>
          <w:rFonts w:ascii="Times New Roman" w:hAnsi="Times New Roman" w:cs="Times New Roman"/>
          <w:iCs/>
          <w:sz w:val="20"/>
          <w:lang w:val="en-GB"/>
        </w:rPr>
        <w:t>:</w:t>
      </w:r>
      <w:proofErr w:type="gramEnd"/>
      <w:hyperlink r:id="rId7"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w:t>
      </w:r>
      <w:proofErr w:type="spellStart"/>
      <w:r w:rsidR="004E36A7" w:rsidRPr="00F2448C">
        <w:rPr>
          <w:rFonts w:ascii="Times New Roman" w:hAnsi="Times New Roman" w:cs="Times New Roman"/>
          <w:sz w:val="20"/>
          <w:lang w:val="en-GB"/>
        </w:rPr>
        <w:t>Emerg</w:t>
      </w:r>
      <w:proofErr w:type="spellEnd"/>
      <w:r w:rsidR="004E36A7" w:rsidRPr="00F2448C">
        <w:rPr>
          <w:rFonts w:ascii="Times New Roman" w:hAnsi="Times New Roman" w:cs="Times New Roman"/>
          <w:sz w:val="20"/>
          <w:lang w:val="en-GB"/>
        </w:rPr>
        <w:t xml:space="preserve">.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04FB764C" w14:textId="77777777" w:rsidR="00583D45" w:rsidRDefault="00B95047" w:rsidP="00A06726">
      <w:pPr>
        <w:autoSpaceDE w:val="0"/>
        <w:autoSpaceDN w:val="0"/>
        <w:adjustRightInd w:val="0"/>
        <w:spacing w:after="0" w:line="240" w:lineRule="auto"/>
        <w:jc w:val="both"/>
        <w:rPr>
          <w:rFonts w:ascii="Times New Roman" w:hAnsi="Times New Roman" w:cs="Times New Roman"/>
          <w:sz w:val="20"/>
          <w:lang w:val="en-GB"/>
        </w:rPr>
        <w:sectPr w:rsidR="00583D45" w:rsidSect="00765F81">
          <w:type w:val="continuous"/>
          <w:pgSz w:w="11880" w:h="15840"/>
          <w:pgMar w:top="851" w:right="1134" w:bottom="851" w:left="1134" w:header="720" w:footer="720" w:gutter="0"/>
          <w:cols w:num="2" w:space="720"/>
          <w:docGrid w:linePitch="360"/>
        </w:sectPr>
      </w:pPr>
      <w:proofErr w:type="spellStart"/>
      <w:r w:rsidRPr="00F2448C">
        <w:rPr>
          <w:rFonts w:ascii="Times New Roman" w:hAnsi="Times New Roman" w:cs="Times New Roman"/>
          <w:sz w:val="20"/>
          <w:lang w:val="en-GB"/>
        </w:rPr>
        <w:t>Zou</w:t>
      </w:r>
      <w:proofErr w:type="spellEnd"/>
      <w:r w:rsidRPr="00F2448C">
        <w:rPr>
          <w:rFonts w:ascii="Times New Roman" w:hAnsi="Times New Roman" w:cs="Times New Roman"/>
          <w:sz w:val="20"/>
          <w:lang w:val="en-GB"/>
        </w:rPr>
        <w:t>,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p w14:paraId="1D1D98F0" w14:textId="3CBBA025" w:rsidR="007F631B" w:rsidRPr="00F2448C" w:rsidRDefault="007F631B"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p>
    <w:sectPr w:rsidR="007F631B" w:rsidRPr="00F2448C" w:rsidSect="00765F81">
      <w:type w:val="continuous"/>
      <w:pgSz w:w="11880" w:h="15840"/>
      <w:pgMar w:top="851" w:right="1134" w:bottom="851" w:left="1134"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F2D" w16cex:dateUtc="2022-04-11T13:55:00Z"/>
  <w16cex:commentExtensible w16cex:durableId="25FDDA90" w16cex:dateUtc="2022-04-06T06:29:00Z"/>
  <w16cex:commentExtensible w16cex:durableId="25FDDA91" w16cex:dateUtc="2022-04-0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00B85" w16cid:durableId="25FEFF2D"/>
  <w16cid:commentId w16cid:paraId="66316330" w16cid:durableId="25FDDA90"/>
  <w16cid:commentId w16cid:paraId="0FB70F51" w16cid:durableId="25FDDA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6749B"/>
    <w:rsid w:val="00167A27"/>
    <w:rsid w:val="0018687F"/>
    <w:rsid w:val="0019651C"/>
    <w:rsid w:val="001C6CAB"/>
    <w:rsid w:val="001E65AF"/>
    <w:rsid w:val="001F70A1"/>
    <w:rsid w:val="00206D8C"/>
    <w:rsid w:val="00214370"/>
    <w:rsid w:val="00220DCB"/>
    <w:rsid w:val="002322C3"/>
    <w:rsid w:val="00241AC8"/>
    <w:rsid w:val="00267469"/>
    <w:rsid w:val="00270847"/>
    <w:rsid w:val="0028447D"/>
    <w:rsid w:val="00285FB5"/>
    <w:rsid w:val="00287950"/>
    <w:rsid w:val="002A732A"/>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3D45"/>
    <w:rsid w:val="00586479"/>
    <w:rsid w:val="00590699"/>
    <w:rsid w:val="005B3D5C"/>
    <w:rsid w:val="005E3465"/>
    <w:rsid w:val="00616173"/>
    <w:rsid w:val="00627CC8"/>
    <w:rsid w:val="00656764"/>
    <w:rsid w:val="00675CDE"/>
    <w:rsid w:val="00684F3B"/>
    <w:rsid w:val="006908C3"/>
    <w:rsid w:val="006949E6"/>
    <w:rsid w:val="006C0EE2"/>
    <w:rsid w:val="006E25FE"/>
    <w:rsid w:val="006E6098"/>
    <w:rsid w:val="006F69BF"/>
    <w:rsid w:val="00700FE8"/>
    <w:rsid w:val="00765F81"/>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36E79"/>
    <w:rsid w:val="0085253C"/>
    <w:rsid w:val="00871CC3"/>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841FF"/>
    <w:rsid w:val="00A9406D"/>
    <w:rsid w:val="00A943A0"/>
    <w:rsid w:val="00AA5988"/>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8BC"/>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33952"/>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B5DD-C6AB-43EC-9334-20CDF3E5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2022-06-15T11:29:00Z</cp:lastPrinted>
  <dcterms:created xsi:type="dcterms:W3CDTF">2022-04-12T08:37:00Z</dcterms:created>
  <dcterms:modified xsi:type="dcterms:W3CDTF">2024-05-04T08:39:00Z</dcterms:modified>
</cp:coreProperties>
</file>